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C9BA" w14:textId="3EB61616" w:rsidR="007E5B8B" w:rsidRPr="00E54885" w:rsidRDefault="007E5B8B" w:rsidP="007E5B8B">
      <w:pPr>
        <w:pStyle w:val="Nagwek"/>
        <w:rPr>
          <w:sz w:val="21"/>
          <w:szCs w:val="21"/>
        </w:rPr>
      </w:pPr>
      <w:bookmarkStart w:id="0" w:name="_Hlk67395657"/>
      <w:bookmarkStart w:id="1" w:name="_Hlk67559478"/>
      <w:r w:rsidRPr="00E54885">
        <w:rPr>
          <w:rFonts w:eastAsia="Times New Roman" w:cstheme="minorHAnsi"/>
          <w:color w:val="000000"/>
          <w:sz w:val="21"/>
          <w:szCs w:val="21"/>
          <w:lang w:eastAsia="pl-PL"/>
        </w:rPr>
        <w:t xml:space="preserve">Postępowanie nr: </w:t>
      </w:r>
      <w:r w:rsidR="00393A3C" w:rsidRPr="00E54885">
        <w:rPr>
          <w:rFonts w:cs="Calibri"/>
          <w:b/>
          <w:bCs/>
          <w:sz w:val="21"/>
          <w:szCs w:val="21"/>
        </w:rPr>
        <w:t>DPBT.261.TK.55.2022</w:t>
      </w:r>
    </w:p>
    <w:p w14:paraId="405BD2D2" w14:textId="63ED0A7F" w:rsidR="00F64088" w:rsidRPr="00E54885" w:rsidRDefault="00F64088" w:rsidP="00307A8B">
      <w:pPr>
        <w:spacing w:after="0" w:line="240" w:lineRule="auto"/>
        <w:jc w:val="right"/>
        <w:rPr>
          <w:rFonts w:eastAsia="Times New Roman" w:cstheme="minorHAnsi"/>
          <w:b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b/>
          <w:color w:val="000000"/>
          <w:sz w:val="21"/>
          <w:szCs w:val="21"/>
          <w:lang w:eastAsia="pl-PL"/>
        </w:rPr>
        <w:t xml:space="preserve">Załącznik nr 4 </w:t>
      </w:r>
      <w:r w:rsidR="00307A8B" w:rsidRPr="00E54885">
        <w:rPr>
          <w:rFonts w:eastAsia="Times New Roman" w:cstheme="minorHAnsi"/>
          <w:b/>
          <w:color w:val="000000"/>
          <w:sz w:val="21"/>
          <w:szCs w:val="21"/>
          <w:lang w:eastAsia="pl-PL"/>
        </w:rPr>
        <w:t xml:space="preserve">do </w:t>
      </w:r>
      <w:r w:rsidR="005B6BF5" w:rsidRPr="00E54885">
        <w:rPr>
          <w:rFonts w:eastAsia="Times New Roman" w:cstheme="minorHAnsi"/>
          <w:b/>
          <w:color w:val="000000"/>
          <w:sz w:val="21"/>
          <w:szCs w:val="21"/>
          <w:lang w:eastAsia="pl-PL"/>
        </w:rPr>
        <w:t>Zapytania ofertowego</w:t>
      </w:r>
    </w:p>
    <w:p w14:paraId="4E0C4182" w14:textId="77777777" w:rsidR="00307A8B" w:rsidRPr="00E54885" w:rsidRDefault="00307A8B" w:rsidP="00307A8B">
      <w:pPr>
        <w:spacing w:after="0" w:line="240" w:lineRule="auto"/>
        <w:jc w:val="right"/>
        <w:rPr>
          <w:rFonts w:eastAsia="Times New Roman" w:cstheme="minorHAnsi"/>
          <w:color w:val="000000"/>
          <w:sz w:val="21"/>
          <w:szCs w:val="21"/>
          <w:lang w:eastAsia="pl-PL"/>
        </w:rPr>
      </w:pPr>
    </w:p>
    <w:p w14:paraId="16F68A8D" w14:textId="77777777" w:rsidR="00F64088" w:rsidRPr="00E54885" w:rsidRDefault="00F64088" w:rsidP="00F64088">
      <w:pPr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color w:val="000000"/>
          <w:sz w:val="21"/>
          <w:szCs w:val="21"/>
          <w:lang w:eastAsia="pl-PL"/>
        </w:rPr>
        <w:t xml:space="preserve">NIP …………………………………………………….. </w:t>
      </w:r>
    </w:p>
    <w:p w14:paraId="0B2E0829" w14:textId="77777777" w:rsidR="00F64088" w:rsidRPr="00E54885" w:rsidRDefault="00F64088" w:rsidP="00F64088">
      <w:pPr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</w:p>
    <w:p w14:paraId="7FFBC490" w14:textId="77777777" w:rsidR="00F64088" w:rsidRPr="00E54885" w:rsidRDefault="00F64088" w:rsidP="00F64088">
      <w:pPr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color w:val="000000"/>
          <w:sz w:val="21"/>
          <w:szCs w:val="21"/>
          <w:lang w:eastAsia="pl-PL"/>
        </w:rPr>
        <w:t xml:space="preserve">REGON ………………………………………………… </w:t>
      </w:r>
    </w:p>
    <w:p w14:paraId="78B0C6F0" w14:textId="77777777" w:rsidR="00F64088" w:rsidRPr="00E54885" w:rsidRDefault="00F64088" w:rsidP="00F64088">
      <w:pPr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</w:p>
    <w:p w14:paraId="30CCE47E" w14:textId="43686599" w:rsidR="00F64088" w:rsidRPr="00E54885" w:rsidRDefault="00467325" w:rsidP="00467325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>Oświadczenie o braku podstaw wykluczenia</w:t>
      </w:r>
    </w:p>
    <w:p w14:paraId="3F6680A1" w14:textId="77777777" w:rsidR="00F64088" w:rsidRPr="00E54885" w:rsidRDefault="00F64088" w:rsidP="00F64088">
      <w:pPr>
        <w:spacing w:after="0" w:line="240" w:lineRule="auto"/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</w:pPr>
    </w:p>
    <w:p w14:paraId="00CC811E" w14:textId="6DA2BFB9" w:rsidR="00467325" w:rsidRPr="00E54885" w:rsidRDefault="00F64088" w:rsidP="00E20337">
      <w:pPr>
        <w:spacing w:after="0" w:line="240" w:lineRule="auto"/>
        <w:jc w:val="both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color w:val="000000"/>
          <w:sz w:val="21"/>
          <w:szCs w:val="21"/>
          <w:lang w:eastAsia="pl-PL"/>
        </w:rPr>
        <w:t xml:space="preserve">W odpowiedzi na </w:t>
      </w:r>
      <w:r w:rsidR="00DE4942" w:rsidRPr="00E54885">
        <w:rPr>
          <w:rFonts w:eastAsia="Times New Roman" w:cstheme="minorHAnsi"/>
          <w:color w:val="000000"/>
          <w:sz w:val="21"/>
          <w:szCs w:val="21"/>
          <w:lang w:eastAsia="pl-PL"/>
        </w:rPr>
        <w:t>ogłoszone postępowanie</w:t>
      </w:r>
      <w:r w:rsidRPr="00E54885">
        <w:rPr>
          <w:rFonts w:eastAsia="Times New Roman" w:cstheme="minorHAnsi"/>
          <w:color w:val="000000"/>
          <w:sz w:val="21"/>
          <w:szCs w:val="21"/>
          <w:lang w:eastAsia="pl-PL"/>
        </w:rPr>
        <w:t xml:space="preserve"> nr </w:t>
      </w:r>
      <w:r w:rsidR="00393A3C" w:rsidRPr="00E54885">
        <w:rPr>
          <w:rFonts w:ascii="Calibri" w:hAnsi="Calibri" w:cs="Calibri"/>
          <w:b/>
          <w:bCs/>
          <w:sz w:val="21"/>
          <w:szCs w:val="21"/>
        </w:rPr>
        <w:t xml:space="preserve">DPBT.261.TK.55.2022 </w:t>
      </w:r>
      <w:r w:rsidR="00E20337"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j</w:t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a, niżej podpisany(a) …………………………………………………………………………………………………………… reprezentując</w:t>
      </w:r>
      <w:r w:rsidR="00467325"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 xml:space="preserve">y (a) </w:t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firmę…………………………………………………………………………………………….. oświadczam</w:t>
      </w:r>
      <w:r w:rsidR="00467325"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/</w:t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 xml:space="preserve">y, </w:t>
      </w:r>
      <w:r w:rsidR="00467325"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że na dzień składania ofert nie podlegam/y wykluczeniu z postępowania.</w:t>
      </w:r>
    </w:p>
    <w:p w14:paraId="3FF83774" w14:textId="307438DB" w:rsidR="00467325" w:rsidRPr="00E54885" w:rsidRDefault="00467325" w:rsidP="00467325">
      <w:pPr>
        <w:spacing w:after="0" w:line="240" w:lineRule="auto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</w:p>
    <w:p w14:paraId="75B5E99F" w14:textId="5DD2E37F" w:rsidR="00467325" w:rsidRPr="00E54885" w:rsidRDefault="00467325" w:rsidP="00E51534">
      <w:pPr>
        <w:jc w:val="both"/>
        <w:rPr>
          <w:rFonts w:eastAsia="Times New Roman" w:cstheme="minorHAnsi"/>
          <w:b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b/>
          <w:color w:val="000000"/>
          <w:sz w:val="21"/>
          <w:szCs w:val="21"/>
          <w:lang w:eastAsia="pl-PL"/>
        </w:rPr>
        <w:t xml:space="preserve">W przedmiotowym postępowaniu </w:t>
      </w:r>
      <w:r w:rsidR="00E20337" w:rsidRPr="00E54885">
        <w:rPr>
          <w:rFonts w:eastAsia="Times New Roman" w:cstheme="minorHAnsi"/>
          <w:b/>
          <w:color w:val="000000"/>
          <w:sz w:val="21"/>
          <w:szCs w:val="21"/>
          <w:lang w:eastAsia="pl-PL"/>
        </w:rPr>
        <w:t>nie zachodzi żadna z przesłanek wymienionych w</w:t>
      </w:r>
      <w:r w:rsidRPr="00E54885">
        <w:rPr>
          <w:rFonts w:eastAsia="Times New Roman" w:cstheme="minorHAnsi"/>
          <w:b/>
          <w:color w:val="000000"/>
          <w:sz w:val="21"/>
          <w:szCs w:val="21"/>
          <w:lang w:eastAsia="pl-PL"/>
        </w:rPr>
        <w:t xml:space="preserve"> pkt. XIII </w:t>
      </w:r>
      <w:r w:rsidR="005B6BF5" w:rsidRPr="00E54885">
        <w:rPr>
          <w:rFonts w:eastAsia="Times New Roman" w:cstheme="minorHAnsi"/>
          <w:b/>
          <w:color w:val="000000"/>
          <w:sz w:val="21"/>
          <w:szCs w:val="21"/>
          <w:lang w:eastAsia="pl-PL"/>
        </w:rPr>
        <w:t>Zapytania ofertowego</w:t>
      </w:r>
      <w:r w:rsidR="00E20337" w:rsidRPr="00E54885">
        <w:rPr>
          <w:rFonts w:eastAsia="Times New Roman" w:cstheme="minorHAnsi"/>
          <w:b/>
          <w:color w:val="000000"/>
          <w:sz w:val="21"/>
          <w:szCs w:val="21"/>
          <w:lang w:eastAsia="pl-PL"/>
        </w:rPr>
        <w:t xml:space="preserve">, gdzie wskazano, że Zamawiający z postępowania </w:t>
      </w:r>
      <w:r w:rsidRPr="00E54885">
        <w:rPr>
          <w:rFonts w:eastAsia="Times New Roman" w:cstheme="minorHAnsi"/>
          <w:b/>
          <w:color w:val="000000"/>
          <w:sz w:val="21"/>
          <w:szCs w:val="21"/>
          <w:lang w:eastAsia="pl-PL"/>
        </w:rPr>
        <w:t>wykluczy:</w:t>
      </w:r>
    </w:p>
    <w:p w14:paraId="617D0D68" w14:textId="11C308A7" w:rsidR="00467325" w:rsidRPr="00E5488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1)</w:t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 w:rsidR="00342840"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W</w:t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 xml:space="preserve">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157834FD" w14:textId="309AA8C6" w:rsidR="00467325" w:rsidRPr="00E5488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2)</w:t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 w:rsidR="00342840"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W</w:t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 xml:space="preserve">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postepowania; </w:t>
      </w:r>
    </w:p>
    <w:p w14:paraId="3F957818" w14:textId="16E62DFA" w:rsidR="00467325" w:rsidRPr="00E5488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3)</w:t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 w:rsidR="00342840"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W</w:t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ykonawców, którzy z przyczyn leżących po ich stronie, nie wykonali lub nienależycie wykonali wcześniejszą umowę w zakresie zamówienia zawartą z Zamawiającym;</w:t>
      </w:r>
    </w:p>
    <w:p w14:paraId="642D14AC" w14:textId="177E9D73" w:rsidR="00467325" w:rsidRPr="00E5488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4)</w:t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 w:rsidR="00342840"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W</w:t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 xml:space="preserve">ykonawców, w stosunku do których otwarto likwidację lub których upadłość ogłoszono; </w:t>
      </w:r>
    </w:p>
    <w:p w14:paraId="307EF02A" w14:textId="755ABFC1" w:rsidR="00467325" w:rsidRPr="00E5488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5)</w:t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 w:rsidR="00342840"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W</w:t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 xml:space="preserve">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10D04165" w14:textId="7E6E6CE7" w:rsidR="00467325" w:rsidRPr="00E5488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6)</w:t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  <w:t xml:space="preserve">osoby fizyczne, które prawomocnie skazano za przestępstwo popełnione w związku </w:t>
      </w:r>
      <w:r w:rsidR="005B6BF5"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br/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06973C5" w14:textId="6D54DE17" w:rsidR="00467325" w:rsidRPr="00E5488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7)</w:t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  <w:t xml:space="preserve">spółki jawne, których wspólnika prawomocnie skazano za przestępstwo popełnione w związku </w:t>
      </w:r>
      <w:r w:rsidR="005B6BF5"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br/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88B0943" w14:textId="77777777" w:rsidR="00467325" w:rsidRPr="00E5488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8)</w:t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58EF07C2" w14:textId="77777777" w:rsidR="00467325" w:rsidRPr="00E5488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9)</w:t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</w:t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lastRenderedPageBreak/>
        <w:t xml:space="preserve">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6509950F" w14:textId="77777777" w:rsidR="00467325" w:rsidRPr="00E5488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10)</w:t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3BA85CC1" w14:textId="77777777" w:rsidR="00467325" w:rsidRPr="00E5488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11)</w:t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1E5A0F24" w14:textId="795E70CA" w:rsidR="00F64088" w:rsidRPr="00E5488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12)</w:t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  <w:t>złożyli nieprawdziwe informacje mające wpływ lub mogące mieć wpływ na wynik prowadzonego postępowania</w:t>
      </w:r>
      <w:r w:rsidR="00D04087"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;</w:t>
      </w:r>
    </w:p>
    <w:p w14:paraId="06680C7E" w14:textId="20401A67" w:rsidR="00951372" w:rsidRPr="00E54885" w:rsidRDefault="00951372" w:rsidP="00951372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13) Na podstawie art. 7 ust. 1 ustawy z dnia 13 kwietnia 2022 r. o szczególnych rozwiązaniach w zakresie przeciwdziałania wspieraniu agresji na Ukrainę oraz służących ochronie bezpieczeństwa narodowego (tj. Dz. U. z dnia 15 kwietnia 2022 r. poz. 835) z postępowania wyklucza się:</w:t>
      </w:r>
    </w:p>
    <w:p w14:paraId="60B3FAFD" w14:textId="0AF7ED27" w:rsidR="00951372" w:rsidRPr="00E54885" w:rsidRDefault="00951372" w:rsidP="00951372">
      <w:pPr>
        <w:spacing w:after="0" w:line="240" w:lineRule="auto"/>
        <w:ind w:left="851" w:hanging="425"/>
        <w:jc w:val="both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 xml:space="preserve">1)    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późn</w:t>
      </w:r>
      <w:proofErr w:type="spellEnd"/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późn</w:t>
      </w:r>
      <w:proofErr w:type="spellEnd"/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73B0A51B" w14:textId="44856D27" w:rsidR="00951372" w:rsidRPr="00E54885" w:rsidRDefault="00951372" w:rsidP="00951372">
      <w:pPr>
        <w:spacing w:after="0" w:line="240" w:lineRule="auto"/>
        <w:ind w:left="851" w:hanging="425"/>
        <w:jc w:val="both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2)    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5ABAFDE9" w14:textId="0A89B370" w:rsidR="00951372" w:rsidRPr="00E54885" w:rsidRDefault="00951372" w:rsidP="00951372">
      <w:pPr>
        <w:spacing w:after="0" w:line="240" w:lineRule="auto"/>
        <w:ind w:left="851" w:hanging="425"/>
        <w:jc w:val="both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3)    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</w:t>
      </w:r>
      <w:r w:rsidR="00BF7FF7"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.</w:t>
      </w:r>
    </w:p>
    <w:p w14:paraId="130BBE05" w14:textId="52ABAC49" w:rsidR="00D04087" w:rsidRPr="00E54885" w:rsidRDefault="00D04087" w:rsidP="00951372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</w:p>
    <w:p w14:paraId="0003A40F" w14:textId="77777777" w:rsidR="00F64088" w:rsidRPr="00E54885" w:rsidRDefault="00F64088" w:rsidP="00E51534">
      <w:pPr>
        <w:spacing w:after="0" w:line="240" w:lineRule="auto"/>
        <w:jc w:val="both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</w:p>
    <w:p w14:paraId="3788379D" w14:textId="77777777" w:rsidR="00F64088" w:rsidRPr="00E54885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</w:p>
    <w:p w14:paraId="7FCA6580" w14:textId="77777777" w:rsidR="00F64088" w:rsidRPr="00E54885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</w:p>
    <w:p w14:paraId="12A4D165" w14:textId="77777777" w:rsidR="00F64088" w:rsidRPr="00E54885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</w:p>
    <w:p w14:paraId="5801C6C3" w14:textId="77777777" w:rsidR="00F64088" w:rsidRPr="00E54885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</w:p>
    <w:p w14:paraId="57331416" w14:textId="77777777" w:rsidR="00F64088" w:rsidRPr="00E54885" w:rsidRDefault="00F64088" w:rsidP="00E54885">
      <w:pPr>
        <w:spacing w:after="0" w:line="240" w:lineRule="auto"/>
        <w:jc w:val="right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 xml:space="preserve">                                                                 ………………….……………………………</w:t>
      </w:r>
    </w:p>
    <w:p w14:paraId="5D966363" w14:textId="6E0B83D6" w:rsidR="00F64088" w:rsidRPr="00E54885" w:rsidRDefault="00F64088" w:rsidP="00E54885">
      <w:pPr>
        <w:spacing w:after="0" w:line="240" w:lineRule="auto"/>
        <w:ind w:left="1416"/>
        <w:jc w:val="right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 w:rsidRPr="00E54885">
        <w:rPr>
          <w:rFonts w:eastAsia="Times New Roman" w:cstheme="minorHAnsi"/>
          <w:bCs/>
          <w:color w:val="000000"/>
          <w:sz w:val="21"/>
          <w:szCs w:val="21"/>
          <w:lang w:eastAsia="pl-PL"/>
        </w:rPr>
        <w:t>(data i podpis Wykonawcy/ upoważnionego przedstawiciela Wykonawcy)</w:t>
      </w:r>
    </w:p>
    <w:bookmarkEnd w:id="0"/>
    <w:bookmarkEnd w:id="1"/>
    <w:p w14:paraId="6D6FAD2C" w14:textId="77777777" w:rsidR="00F64088" w:rsidRPr="00E54885" w:rsidRDefault="00F64088" w:rsidP="00F64088">
      <w:pPr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</w:p>
    <w:p w14:paraId="5030C792" w14:textId="77777777" w:rsidR="00081FBE" w:rsidRPr="00E54885" w:rsidRDefault="00081FBE" w:rsidP="009447DF">
      <w:pPr>
        <w:jc w:val="right"/>
        <w:rPr>
          <w:rFonts w:cstheme="minorHAnsi"/>
          <w:sz w:val="21"/>
          <w:szCs w:val="21"/>
        </w:rPr>
      </w:pPr>
    </w:p>
    <w:sectPr w:rsidR="00081FBE" w:rsidRPr="00E54885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495FE" w14:textId="77777777" w:rsidR="00FF0733" w:rsidRDefault="00FF0733" w:rsidP="008A078A">
      <w:pPr>
        <w:spacing w:after="0" w:line="240" w:lineRule="auto"/>
      </w:pPr>
      <w:r>
        <w:separator/>
      </w:r>
    </w:p>
  </w:endnote>
  <w:endnote w:type="continuationSeparator" w:id="0">
    <w:p w14:paraId="057FE8D7" w14:textId="77777777" w:rsidR="00FF0733" w:rsidRDefault="00FF0733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2" w:name="_Hlk41638498"/>
    <w:bookmarkStart w:id="3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2"/>
  <w:bookmarkEnd w:id="3"/>
  <w:p w14:paraId="657D0EE2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09B0E1CD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61D325F3" w14:textId="77777777" w:rsidR="00655301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7C63C91E" w14:textId="3A9358C9" w:rsidR="00655301" w:rsidRPr="00857D82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1E32B" w14:textId="77777777" w:rsidR="00FF0733" w:rsidRDefault="00FF0733" w:rsidP="008A078A">
      <w:pPr>
        <w:spacing w:after="0" w:line="240" w:lineRule="auto"/>
      </w:pPr>
      <w:r>
        <w:separator/>
      </w:r>
    </w:p>
  </w:footnote>
  <w:footnote w:type="continuationSeparator" w:id="0">
    <w:p w14:paraId="423ABE88" w14:textId="77777777" w:rsidR="00FF0733" w:rsidRDefault="00FF0733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22E76F7F" w:rsidR="00BA56B9" w:rsidRDefault="00E54885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3AD186E" wp14:editId="235C81CC">
          <wp:simplePos x="0" y="0"/>
          <wp:positionH relativeFrom="margin">
            <wp:posOffset>4552950</wp:posOffset>
          </wp:positionH>
          <wp:positionV relativeFrom="paragraph">
            <wp:posOffset>-762000</wp:posOffset>
          </wp:positionV>
          <wp:extent cx="1615440" cy="730885"/>
          <wp:effectExtent l="0" t="0" r="0" b="0"/>
          <wp:wrapTopAndBottom/>
          <wp:docPr id="15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56B9"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03BB2DEB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6B9"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6B9"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60CD0"/>
    <w:multiLevelType w:val="hybridMultilevel"/>
    <w:tmpl w:val="5E1818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D05848"/>
    <w:multiLevelType w:val="multilevel"/>
    <w:tmpl w:val="2E2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1328B"/>
    <w:multiLevelType w:val="hybridMultilevel"/>
    <w:tmpl w:val="C3621272"/>
    <w:lvl w:ilvl="0" w:tplc="B62E9006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8"/>
  </w:num>
  <w:num w:numId="12">
    <w:abstractNumId w:val="19"/>
  </w:num>
  <w:num w:numId="13">
    <w:abstractNumId w:val="2"/>
  </w:num>
  <w:num w:numId="14">
    <w:abstractNumId w:val="5"/>
  </w:num>
  <w:num w:numId="15">
    <w:abstractNumId w:val="12"/>
  </w:num>
  <w:num w:numId="16">
    <w:abstractNumId w:val="15"/>
  </w:num>
  <w:num w:numId="17">
    <w:abstractNumId w:val="16"/>
  </w:num>
  <w:num w:numId="18">
    <w:abstractNumId w:val="13"/>
  </w:num>
  <w:num w:numId="19">
    <w:abstractNumId w:val="9"/>
  </w:num>
  <w:num w:numId="20">
    <w:abstractNumId w:val="11"/>
  </w:num>
  <w:num w:numId="21">
    <w:abstractNumId w:val="6"/>
  </w:num>
  <w:num w:numId="22">
    <w:abstractNumId w:val="1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341F"/>
    <w:rsid w:val="00043D2F"/>
    <w:rsid w:val="00045069"/>
    <w:rsid w:val="00045AD6"/>
    <w:rsid w:val="00045E6E"/>
    <w:rsid w:val="00046240"/>
    <w:rsid w:val="00057CE3"/>
    <w:rsid w:val="000617D4"/>
    <w:rsid w:val="000720FC"/>
    <w:rsid w:val="00081FBE"/>
    <w:rsid w:val="00084475"/>
    <w:rsid w:val="0008579B"/>
    <w:rsid w:val="000A1274"/>
    <w:rsid w:val="000A2047"/>
    <w:rsid w:val="000B2E27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336D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730B0"/>
    <w:rsid w:val="00287BD4"/>
    <w:rsid w:val="002A638F"/>
    <w:rsid w:val="002B7045"/>
    <w:rsid w:val="002D0F8D"/>
    <w:rsid w:val="002D3FF4"/>
    <w:rsid w:val="002D73E0"/>
    <w:rsid w:val="002E575A"/>
    <w:rsid w:val="00307A8B"/>
    <w:rsid w:val="00325B9B"/>
    <w:rsid w:val="00333502"/>
    <w:rsid w:val="00342840"/>
    <w:rsid w:val="00345681"/>
    <w:rsid w:val="00346372"/>
    <w:rsid w:val="00352032"/>
    <w:rsid w:val="00384FB5"/>
    <w:rsid w:val="0038598D"/>
    <w:rsid w:val="00391AAC"/>
    <w:rsid w:val="003932A6"/>
    <w:rsid w:val="00393A3C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5D46"/>
    <w:rsid w:val="00467325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D1EF0"/>
    <w:rsid w:val="004D4223"/>
    <w:rsid w:val="004F2955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A3AB2"/>
    <w:rsid w:val="005B6BF5"/>
    <w:rsid w:val="005C1331"/>
    <w:rsid w:val="005C37D2"/>
    <w:rsid w:val="005E7CA5"/>
    <w:rsid w:val="005F3FE3"/>
    <w:rsid w:val="005F5A93"/>
    <w:rsid w:val="0060001C"/>
    <w:rsid w:val="00601A5A"/>
    <w:rsid w:val="006226A7"/>
    <w:rsid w:val="00631FD8"/>
    <w:rsid w:val="00640521"/>
    <w:rsid w:val="00640A59"/>
    <w:rsid w:val="00655301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0118"/>
    <w:rsid w:val="00714672"/>
    <w:rsid w:val="007511E1"/>
    <w:rsid w:val="00761531"/>
    <w:rsid w:val="00783854"/>
    <w:rsid w:val="00791205"/>
    <w:rsid w:val="007C0325"/>
    <w:rsid w:val="007D7937"/>
    <w:rsid w:val="007E053F"/>
    <w:rsid w:val="007E2922"/>
    <w:rsid w:val="007E3A81"/>
    <w:rsid w:val="007E5B8B"/>
    <w:rsid w:val="007F5E00"/>
    <w:rsid w:val="008161B2"/>
    <w:rsid w:val="00835255"/>
    <w:rsid w:val="00842D45"/>
    <w:rsid w:val="00844C96"/>
    <w:rsid w:val="008455FF"/>
    <w:rsid w:val="00847EBE"/>
    <w:rsid w:val="008547F2"/>
    <w:rsid w:val="008626BF"/>
    <w:rsid w:val="008636DE"/>
    <w:rsid w:val="008A078A"/>
    <w:rsid w:val="008A7E6D"/>
    <w:rsid w:val="008B1F2D"/>
    <w:rsid w:val="008B4F6B"/>
    <w:rsid w:val="008C0DB9"/>
    <w:rsid w:val="008D13CE"/>
    <w:rsid w:val="008D501E"/>
    <w:rsid w:val="008D7670"/>
    <w:rsid w:val="008D77B0"/>
    <w:rsid w:val="008E67AF"/>
    <w:rsid w:val="008F6462"/>
    <w:rsid w:val="008F73E1"/>
    <w:rsid w:val="00901A55"/>
    <w:rsid w:val="009266EF"/>
    <w:rsid w:val="009447DF"/>
    <w:rsid w:val="00947B6D"/>
    <w:rsid w:val="00951372"/>
    <w:rsid w:val="0095161F"/>
    <w:rsid w:val="009568E5"/>
    <w:rsid w:val="00964AC1"/>
    <w:rsid w:val="0096702F"/>
    <w:rsid w:val="00973586"/>
    <w:rsid w:val="00980D59"/>
    <w:rsid w:val="00981C27"/>
    <w:rsid w:val="00992F51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5348"/>
    <w:rsid w:val="00A45608"/>
    <w:rsid w:val="00A650CF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056FB"/>
    <w:rsid w:val="00B25675"/>
    <w:rsid w:val="00B269AA"/>
    <w:rsid w:val="00B275B6"/>
    <w:rsid w:val="00B456FE"/>
    <w:rsid w:val="00B54967"/>
    <w:rsid w:val="00B57DB8"/>
    <w:rsid w:val="00B649E5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BF7FF7"/>
    <w:rsid w:val="00C4005D"/>
    <w:rsid w:val="00C4759E"/>
    <w:rsid w:val="00C64F66"/>
    <w:rsid w:val="00C8054A"/>
    <w:rsid w:val="00C8137C"/>
    <w:rsid w:val="00C90A43"/>
    <w:rsid w:val="00C955CE"/>
    <w:rsid w:val="00CB2CD1"/>
    <w:rsid w:val="00CB75ED"/>
    <w:rsid w:val="00CC5E70"/>
    <w:rsid w:val="00CD76DC"/>
    <w:rsid w:val="00CE1835"/>
    <w:rsid w:val="00CE42C9"/>
    <w:rsid w:val="00CE43CB"/>
    <w:rsid w:val="00CF29E3"/>
    <w:rsid w:val="00CF6F8F"/>
    <w:rsid w:val="00D04087"/>
    <w:rsid w:val="00D237CF"/>
    <w:rsid w:val="00D2705F"/>
    <w:rsid w:val="00D306E4"/>
    <w:rsid w:val="00D335E6"/>
    <w:rsid w:val="00D33D42"/>
    <w:rsid w:val="00D427D5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4942"/>
    <w:rsid w:val="00DE5733"/>
    <w:rsid w:val="00DF567B"/>
    <w:rsid w:val="00E0073C"/>
    <w:rsid w:val="00E056F4"/>
    <w:rsid w:val="00E10194"/>
    <w:rsid w:val="00E20337"/>
    <w:rsid w:val="00E2398D"/>
    <w:rsid w:val="00E2520A"/>
    <w:rsid w:val="00E46024"/>
    <w:rsid w:val="00E51534"/>
    <w:rsid w:val="00E54609"/>
    <w:rsid w:val="00E54885"/>
    <w:rsid w:val="00E56F8D"/>
    <w:rsid w:val="00E65564"/>
    <w:rsid w:val="00E67D7D"/>
    <w:rsid w:val="00E74EE1"/>
    <w:rsid w:val="00E85D06"/>
    <w:rsid w:val="00E96ACE"/>
    <w:rsid w:val="00EA37E1"/>
    <w:rsid w:val="00EA7802"/>
    <w:rsid w:val="00EB1595"/>
    <w:rsid w:val="00EB393D"/>
    <w:rsid w:val="00EB61CE"/>
    <w:rsid w:val="00ED47E1"/>
    <w:rsid w:val="00ED54A8"/>
    <w:rsid w:val="00EE0E8D"/>
    <w:rsid w:val="00EF13AC"/>
    <w:rsid w:val="00EF67B8"/>
    <w:rsid w:val="00F01639"/>
    <w:rsid w:val="00F127FF"/>
    <w:rsid w:val="00F23FC9"/>
    <w:rsid w:val="00F505D5"/>
    <w:rsid w:val="00F52ED5"/>
    <w:rsid w:val="00F57A7A"/>
    <w:rsid w:val="00F64088"/>
    <w:rsid w:val="00F64888"/>
    <w:rsid w:val="00F64CED"/>
    <w:rsid w:val="00F73EE5"/>
    <w:rsid w:val="00FA4B24"/>
    <w:rsid w:val="00FB4731"/>
    <w:rsid w:val="00FB758B"/>
    <w:rsid w:val="00FC4A36"/>
    <w:rsid w:val="00FC4A72"/>
    <w:rsid w:val="00FD05CA"/>
    <w:rsid w:val="00FD77BB"/>
    <w:rsid w:val="00FE65DD"/>
    <w:rsid w:val="00FF0733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Poprawka">
    <w:name w:val="Revision"/>
    <w:hidden/>
    <w:uiPriority w:val="99"/>
    <w:semiHidden/>
    <w:rsid w:val="00045E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1027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Wendeker Elzbieta</cp:lastModifiedBy>
  <cp:revision>3</cp:revision>
  <cp:lastPrinted>2020-05-29T08:01:00Z</cp:lastPrinted>
  <dcterms:created xsi:type="dcterms:W3CDTF">2022-05-05T12:01:00Z</dcterms:created>
  <dcterms:modified xsi:type="dcterms:W3CDTF">2022-05-10T09:19:00Z</dcterms:modified>
</cp:coreProperties>
</file>